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41A68594" w:rsidR="00CA08C7" w:rsidRPr="00A07148" w:rsidRDefault="005B4FD7">
      <w:pPr>
        <w:rPr>
          <w:b/>
          <w:bCs/>
          <w:iCs/>
          <w:color w:val="000000" w:themeColor="text1"/>
        </w:rPr>
      </w:pPr>
      <w:r>
        <w:rPr>
          <w:b/>
        </w:rPr>
        <w:t xml:space="preserve">TABELA NR </w:t>
      </w:r>
      <w:r w:rsidR="00631C43">
        <w:rPr>
          <w:b/>
          <w:bCs/>
          <w:iCs/>
          <w:color w:val="000000" w:themeColor="text1"/>
        </w:rPr>
        <w:t>2</w:t>
      </w:r>
      <w:r w:rsidR="0091772B">
        <w:rPr>
          <w:b/>
          <w:bCs/>
          <w:iCs/>
          <w:color w:val="000000" w:themeColor="text1"/>
        </w:rPr>
        <w:t xml:space="preserve"> – Lampa zabiegowa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6093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6093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FE0A6FF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314CC4" w:rsidRPr="00314CC4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F6093E" w14:paraId="66A47473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7E8A4761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Napięcie zasilania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100-240V AC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2B87F45A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14781F0E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Częstotliwość napięcia zasilania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50-60 Hz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1AED533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7359B19E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Natężenie oświetlenia w odległości DRef = 1 m (Ec,Ref)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130 000 lux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7F261E90" w14:textId="77777777" w:rsidTr="00F6093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6CE715D6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Wskaźnik oddawania barw Ra (minimum)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97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214D9239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F1D6C2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CC8C537" w14:textId="4D519E93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Wskaźnik oddawania barwy czerwonej R9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97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42A8AC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7F4A5F33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12D1637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BA07CF" w14:textId="375EAE97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Średnica pola roboczego d10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24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0CA6325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7BD60F14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20E826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B76D331" w14:textId="68667E30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Średnica plamy d50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13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890F364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59EA6AE5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CAEEE95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E0373CA" w14:textId="193B56A3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Temperatura barwowa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4000-4800 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7DE5EC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0DAD24A2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8BAA21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20AA640" w14:textId="10C3BAAB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Całkowite natężenie napromienienia dla 130 000 lux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489 W/m2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D98E59B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3F8C02AA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14B4EB9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117F88F" w14:textId="735369AE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Przyrost temperatury w okolicy głowy chirurga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&lt; 1 °C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FA74843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2305F421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B61FB5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3EB4224" w14:textId="24B5279C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Liczba źródeł światła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25 LED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3551B51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5E80437D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175E70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F8EC1EF" w14:textId="2134875F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Żywotność źródeł światła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60000 godzin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2B2C018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04062703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49DB6DC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17CCB6D" w14:textId="1AAFD2D8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Wgłębność oświetlenia dla 60% L1+L2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125,5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B94BC3C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91772B" w14:paraId="36E4F746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FA4217D" w14:textId="77777777" w:rsidR="0091772B" w:rsidRPr="005B4FD7" w:rsidRDefault="0091772B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6A585D0" w14:textId="56930627" w:rsidR="0091772B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Pobór mocy (jednej) oprawy lampy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55 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70B4863" w14:textId="77777777" w:rsidR="0091772B" w:rsidRPr="005B4FD7" w:rsidRDefault="0091772B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6CE626F2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28F7F1C1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Pobór mocy pozornej lampy (dla jednej oprawy)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70 VA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355B65D4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39A45679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Klasa ochrony przed porażeniem elektrycznym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6093E" w14:paraId="6FE59442" w14:textId="77777777" w:rsidTr="00F6093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F6093E" w:rsidRPr="005B4FD7" w:rsidRDefault="00F6093E" w:rsidP="00F6093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4E85554F" w:rsidR="00F6093E" w:rsidRPr="00F6093E" w:rsidRDefault="0091772B" w:rsidP="00F6093E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1772B">
              <w:rPr>
                <w:rFonts w:cstheme="minorHAnsi"/>
                <w:bCs/>
                <w:sz w:val="20"/>
                <w:szCs w:val="20"/>
              </w:rPr>
              <w:t>Stopień ochrony obudowy (dotyczy zawieszenia i kopuły)</w:t>
            </w:r>
            <w:r w:rsidRPr="0091772B">
              <w:rPr>
                <w:rFonts w:cstheme="minorHAnsi"/>
                <w:bCs/>
                <w:sz w:val="20"/>
                <w:szCs w:val="20"/>
              </w:rPr>
              <w:tab/>
              <w:t>IP 20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F6093E" w:rsidRPr="005B4FD7" w:rsidRDefault="00F6093E" w:rsidP="00F6093E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878FA"/>
    <w:rsid w:val="00314CC4"/>
    <w:rsid w:val="003B7A3A"/>
    <w:rsid w:val="003C5B5E"/>
    <w:rsid w:val="0055707E"/>
    <w:rsid w:val="005B4FD7"/>
    <w:rsid w:val="00631C43"/>
    <w:rsid w:val="008459A5"/>
    <w:rsid w:val="0091772B"/>
    <w:rsid w:val="00A07148"/>
    <w:rsid w:val="00A16DE5"/>
    <w:rsid w:val="00A20625"/>
    <w:rsid w:val="00A97F14"/>
    <w:rsid w:val="00CA08C7"/>
    <w:rsid w:val="00CD3C32"/>
    <w:rsid w:val="00D54DCF"/>
    <w:rsid w:val="00F6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1203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2024-06-17T09:32:00Z</dcterms:created>
  <dcterms:modified xsi:type="dcterms:W3CDTF">2024-07-04T12:47:00Z</dcterms:modified>
</cp:coreProperties>
</file>